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E2" w:rsidRDefault="007607E2" w:rsidP="00CF79E2">
      <w:pPr>
        <w:spacing w:after="0"/>
        <w:ind w:left="6379"/>
      </w:pPr>
      <w:r>
        <w:t xml:space="preserve">Приложение № 1 </w:t>
      </w:r>
    </w:p>
    <w:p w:rsidR="009A5DCF" w:rsidRDefault="007607E2" w:rsidP="00CF79E2">
      <w:pPr>
        <w:spacing w:after="0"/>
        <w:ind w:left="6379"/>
      </w:pPr>
      <w:r>
        <w:t>к постановлению Администрации Арамильского городского округа</w:t>
      </w:r>
    </w:p>
    <w:p w:rsidR="007607E2" w:rsidRDefault="007607E2" w:rsidP="00CF79E2">
      <w:pPr>
        <w:spacing w:after="0"/>
        <w:ind w:left="6379"/>
      </w:pPr>
      <w:r>
        <w:t>от _____________ № ____________</w:t>
      </w:r>
    </w:p>
    <w:p w:rsidR="007607E2" w:rsidRDefault="007607E2" w:rsidP="007607E2">
      <w:pPr>
        <w:spacing w:after="0"/>
      </w:pPr>
    </w:p>
    <w:p w:rsidR="007607E2" w:rsidRDefault="007607E2" w:rsidP="00696AD4">
      <w:pPr>
        <w:spacing w:after="0"/>
        <w:jc w:val="center"/>
      </w:pPr>
      <w:r>
        <w:t>Паспорт</w:t>
      </w:r>
      <w:r w:rsidR="00696AD4">
        <w:t xml:space="preserve"> </w:t>
      </w:r>
      <w:r>
        <w:t xml:space="preserve">муниципальной программы </w:t>
      </w:r>
    </w:p>
    <w:p w:rsidR="007607E2" w:rsidRDefault="007607E2" w:rsidP="007607E2">
      <w:pPr>
        <w:spacing w:after="0"/>
        <w:jc w:val="center"/>
      </w:pPr>
      <w:r>
        <w:t>«</w:t>
      </w:r>
      <w:r w:rsidR="00696AD4">
        <w:t>Социальная поддержка населения</w:t>
      </w:r>
      <w:r>
        <w:t xml:space="preserve"> Арамильско</w:t>
      </w:r>
      <w:r w:rsidR="00696AD4">
        <w:t>го городского</w:t>
      </w:r>
      <w:r>
        <w:t xml:space="preserve"> округ</w:t>
      </w:r>
      <w:r w:rsidR="00696AD4">
        <w:t>а</w:t>
      </w:r>
      <w:r>
        <w:t xml:space="preserve"> до 2028 года»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7"/>
        <w:gridCol w:w="7518"/>
      </w:tblGrid>
      <w:tr w:rsidR="007607E2" w:rsidRPr="00696AD4" w:rsidTr="007607E2">
        <w:tc>
          <w:tcPr>
            <w:tcW w:w="2547" w:type="dxa"/>
            <w:vAlign w:val="center"/>
          </w:tcPr>
          <w:p w:rsidR="007607E2" w:rsidRPr="00696AD4" w:rsidRDefault="007607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648" w:type="dxa"/>
            <w:vAlign w:val="center"/>
          </w:tcPr>
          <w:p w:rsidR="007607E2" w:rsidRPr="00696AD4" w:rsidRDefault="007607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t>Администрация Арамильского городского округа</w:t>
            </w:r>
          </w:p>
        </w:tc>
      </w:tr>
      <w:tr w:rsidR="007607E2" w:rsidRPr="00696AD4" w:rsidTr="007607E2">
        <w:tc>
          <w:tcPr>
            <w:tcW w:w="2547" w:type="dxa"/>
            <w:vAlign w:val="center"/>
          </w:tcPr>
          <w:p w:rsidR="007607E2" w:rsidRPr="00696AD4" w:rsidRDefault="007607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t>Сроки реализации муниципальной программы</w:t>
            </w:r>
          </w:p>
        </w:tc>
        <w:tc>
          <w:tcPr>
            <w:tcW w:w="7648" w:type="dxa"/>
            <w:vAlign w:val="center"/>
          </w:tcPr>
          <w:p w:rsidR="007607E2" w:rsidRPr="00696AD4" w:rsidRDefault="007607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t>2024 – 2028 годы</w:t>
            </w:r>
          </w:p>
        </w:tc>
      </w:tr>
      <w:tr w:rsidR="007607E2" w:rsidRPr="00696AD4" w:rsidTr="007607E2">
        <w:tc>
          <w:tcPr>
            <w:tcW w:w="2547" w:type="dxa"/>
            <w:vAlign w:val="center"/>
          </w:tcPr>
          <w:p w:rsidR="007607E2" w:rsidRPr="00696AD4" w:rsidRDefault="007607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t>Цели и задачи муниципальной программы</w:t>
            </w:r>
          </w:p>
        </w:tc>
        <w:tc>
          <w:tcPr>
            <w:tcW w:w="7648" w:type="dxa"/>
            <w:vAlign w:val="center"/>
          </w:tcPr>
          <w:p w:rsidR="00CF79E2" w:rsidRPr="00696AD4" w:rsidRDefault="00696AD4" w:rsidP="007607E2">
            <w:pPr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  <w:t>Цель 1. Формирование условий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 Обеспечение интеграции инвалидов в общество.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1.1. Оценка состояния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1.2. Повышение уровня доступности приоритетных объектов и услуг в приоритетных сферах жизнедеятельности инвалидов и других маломобильных групп населения.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Цель 2. Повышение социальной активности населения и общественных объединений, действующих на территории Арамильского городского округа.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2.1. Поддержка инициатив различных социальных групп по созданию общественных объединений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2.2. Создание условий для эффективной работы и тесного взаимодействия Администрации Арамильского городского округа, действую-щих в городском округе общественных объединений (организаций) через систему реализации совместных мероприятий и социальных проектов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2.3. Формирование четких механизмов поддержки социально-активных граждан и объединений граждан Арамильского городского округа, направленных на решение социально-значимых проблем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2.4. Оказание мер социальной поддержки гражданам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Цель 3. Формирование условий для повышения эффективности системы социальной защиты и социальной поддержки отдельных категорий граждан в Арамильском городском округе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3.1. Социальная поддержка граждан в виде предоставления компенсаций расходов и субсидий на оплату жилого помещения и коммуналь-ных услуг</w:t>
            </w:r>
          </w:p>
          <w:p w:rsidR="00696AD4" w:rsidRPr="00696AD4" w:rsidRDefault="00696AD4" w:rsidP="007607E2">
            <w:pPr>
              <w:rPr>
                <w:rFonts w:cs="Times New Roman"/>
                <w:noProof/>
                <w:color w:val="000000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3.2. Обеспечение исполнения полномочий Министерства социальной политики Свердловской области и его территориальных органов</w:t>
            </w:r>
          </w:p>
        </w:tc>
      </w:tr>
      <w:tr w:rsidR="007607E2" w:rsidRPr="00696AD4" w:rsidTr="007607E2">
        <w:tc>
          <w:tcPr>
            <w:tcW w:w="2547" w:type="dxa"/>
            <w:vAlign w:val="center"/>
          </w:tcPr>
          <w:p w:rsidR="007607E2" w:rsidRPr="00696AD4" w:rsidRDefault="00CF79E2" w:rsidP="007607E2">
            <w:pPr>
              <w:rPr>
                <w:szCs w:val="24"/>
              </w:rPr>
            </w:pPr>
            <w:r w:rsidRPr="00696AD4">
              <w:rPr>
                <w:rStyle w:val="CharacterStyle1"/>
                <w:rFonts w:ascii="Liberation Serif" w:eastAsiaTheme="minorHAnsi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648" w:type="dxa"/>
            <w:vAlign w:val="center"/>
          </w:tcPr>
          <w:p w:rsidR="007607E2" w:rsidRPr="00696AD4" w:rsidRDefault="00696AD4" w:rsidP="00696AD4">
            <w:pPr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  <w:t xml:space="preserve">1. </w:t>
            </w:r>
            <w:r w:rsidRPr="00696AD4"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  <w:t>«Доступная среда для инвалидов и маломобильных групп населения»</w:t>
            </w:r>
          </w:p>
          <w:p w:rsidR="00696AD4" w:rsidRPr="00696AD4" w:rsidRDefault="00696AD4" w:rsidP="00696AD4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2. «Поддержка де</w:t>
            </w:r>
            <w:bookmarkStart w:id="0" w:name="_GoBack"/>
            <w:bookmarkEnd w:id="0"/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ятельности общественных объединений, действующих на территории Арамильского городского округа, и отдельных категорий граждан»</w:t>
            </w:r>
          </w:p>
          <w:p w:rsidR="00696AD4" w:rsidRPr="00696AD4" w:rsidRDefault="00696AD4" w:rsidP="00696AD4">
            <w:pPr>
              <w:rPr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3. «Социальная поддержка населения в форме субсидий и компенсаций на оплату жилого помещения и коммунальных услуг»</w:t>
            </w:r>
          </w:p>
        </w:tc>
      </w:tr>
      <w:tr w:rsidR="007607E2" w:rsidRPr="00696AD4" w:rsidTr="007607E2">
        <w:tc>
          <w:tcPr>
            <w:tcW w:w="2547" w:type="dxa"/>
            <w:vAlign w:val="center"/>
          </w:tcPr>
          <w:p w:rsidR="007607E2" w:rsidRPr="00696AD4" w:rsidRDefault="00CF79E2" w:rsidP="007607E2">
            <w:pPr>
              <w:rPr>
                <w:szCs w:val="24"/>
              </w:rPr>
            </w:pPr>
            <w:r w:rsidRPr="00696AD4">
              <w:rPr>
                <w:rStyle w:val="CharacterStyle7"/>
                <w:rFonts w:ascii="Liberation Serif" w:eastAsiaTheme="minorHAnsi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7648" w:type="dxa"/>
            <w:vAlign w:val="center"/>
          </w:tcPr>
          <w:p w:rsidR="00CF79E2" w:rsidRPr="00696AD4" w:rsidRDefault="00696AD4" w:rsidP="00696AD4">
            <w:pPr>
              <w:rPr>
                <w:rStyle w:val="CharacterStyle8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8"/>
                <w:rFonts w:ascii="Liberation Serif" w:eastAsiaTheme="minorHAnsi" w:hAnsi="Liberation Serif"/>
                <w:sz w:val="24"/>
                <w:szCs w:val="24"/>
              </w:rPr>
              <w:t xml:space="preserve">1. </w:t>
            </w:r>
            <w:r w:rsidRPr="00696AD4">
              <w:rPr>
                <w:rStyle w:val="CharacterStyle8"/>
                <w:rFonts w:ascii="Liberation Serif" w:eastAsiaTheme="minorHAnsi" w:hAnsi="Liberation Serif"/>
                <w:sz w:val="24"/>
                <w:szCs w:val="24"/>
              </w:rP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</w:t>
            </w:r>
          </w:p>
          <w:p w:rsidR="00696AD4" w:rsidRPr="00696AD4" w:rsidRDefault="00696AD4" w:rsidP="00696AD4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2.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  <w:p w:rsidR="00696AD4" w:rsidRPr="00696AD4" w:rsidRDefault="00696AD4" w:rsidP="00696AD4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3. Количест</w:t>
            </w: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во активно работающих обществен</w:t>
            </w: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ных объединений (организаций)</w:t>
            </w:r>
          </w:p>
          <w:p w:rsidR="00696AD4" w:rsidRPr="00696AD4" w:rsidRDefault="00696AD4" w:rsidP="00696AD4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4. Количество вновь созданных общественных объединений (организаций), увеличение общественных объединений (организаций)</w:t>
            </w:r>
          </w:p>
          <w:p w:rsidR="00696AD4" w:rsidRPr="00696AD4" w:rsidRDefault="00696AD4" w:rsidP="00696AD4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5. Количество реализованных совместных мероприятий</w:t>
            </w:r>
          </w:p>
          <w:p w:rsidR="00696AD4" w:rsidRPr="00696AD4" w:rsidRDefault="00696AD4" w:rsidP="00696AD4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6. Уровень информированности населения о работе общественных объединений (организаций)</w:t>
            </w:r>
          </w:p>
          <w:p w:rsidR="00696AD4" w:rsidRPr="00696AD4" w:rsidRDefault="00696AD4" w:rsidP="00696AD4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7. Доля граждан, получивших меры социальной поддержки, в общей численности граждан, обратившихся в Администрацию Арамильского городского округа</w:t>
            </w:r>
          </w:p>
          <w:p w:rsidR="00696AD4" w:rsidRPr="00696AD4" w:rsidRDefault="00696AD4" w:rsidP="00696AD4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 xml:space="preserve">8. Доля граждан, получивших меры социальной поддержки, в общей численности граждан, имеющих право на соответствующие меры социальной поддержки и обратившихся в Отдел по начислению субсидий и компенсаций Муниципального казённого 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учреждения «</w:t>
            </w: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Центр бухгалтерского сопровождения органов местного самоуправления и муниципальных учреждений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 xml:space="preserve"> Арамильского городского округа»</w:t>
            </w:r>
          </w:p>
          <w:p w:rsidR="00696AD4" w:rsidRPr="00696AD4" w:rsidRDefault="00696AD4" w:rsidP="00696AD4">
            <w:pPr>
              <w:rPr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9. Количество обоснованных жалоб на действия (бездействие) органов социальной политики, поступивших в Администрацию Арамильского городского округа по вопросу начислений субсидий и компенсаций</w:t>
            </w:r>
          </w:p>
        </w:tc>
      </w:tr>
      <w:tr w:rsidR="007607E2" w:rsidRPr="00696AD4" w:rsidTr="007607E2">
        <w:tc>
          <w:tcPr>
            <w:tcW w:w="2547" w:type="dxa"/>
            <w:vAlign w:val="center"/>
          </w:tcPr>
          <w:p w:rsidR="00CF79E2" w:rsidRPr="00696AD4" w:rsidRDefault="00CF79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t xml:space="preserve">Объем финансирования муниципальной программы по годам реализации, </w:t>
            </w:r>
          </w:p>
          <w:p w:rsidR="007607E2" w:rsidRPr="00696AD4" w:rsidRDefault="00CF79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t>тыс. рублей</w:t>
            </w:r>
          </w:p>
        </w:tc>
        <w:tc>
          <w:tcPr>
            <w:tcW w:w="7648" w:type="dxa"/>
            <w:vAlign w:val="center"/>
          </w:tcPr>
          <w:p w:rsidR="009E06B6" w:rsidRPr="00696AD4" w:rsidRDefault="00696AD4" w:rsidP="007607E2">
            <w:pPr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  <w:t>ВСЕГО: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383 818,4 тыс. рублей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 xml:space="preserve">2024 год - 78 916,2 тыс. рублей, </w:t>
            </w: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- 79 973,6 тыс. рублей, </w:t>
            </w: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- 73 207,7 тыс. рублей, </w:t>
            </w: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- 75 039,4 тыс. рублей, </w:t>
            </w: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>2028 год - 76 681,5 тыс. рублей</w:t>
            </w:r>
          </w:p>
          <w:p w:rsidR="00696AD4" w:rsidRPr="00696AD4" w:rsidRDefault="00696AD4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из них:</w:t>
            </w:r>
          </w:p>
          <w:p w:rsidR="00696AD4" w:rsidRPr="00696AD4" w:rsidRDefault="00696AD4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областной бюджет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295 137,0 тыс. рублей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- 61 457,6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- 59 997,9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- 56 084,2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- 57 915,9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- 59 681,4 тыс. рублей</w:t>
            </w:r>
          </w:p>
          <w:p w:rsidR="00696AD4" w:rsidRPr="00696AD4" w:rsidRDefault="00696AD4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федеральный бюджет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80 419,1 тыс. рублей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- 16 275,9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- 16 267,7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- 15 958,5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- 15 958,5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- 15 958,5 тыс. рублей</w:t>
            </w:r>
          </w:p>
          <w:p w:rsidR="00696AD4" w:rsidRPr="00696AD4" w:rsidRDefault="00696AD4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местный бюджет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8 262,3 тыс. рублей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lastRenderedPageBreak/>
              <w:t>в том числе: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- 1 182,7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- 3 708,0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- 1 165,0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- 1 165,0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- 1 041,6 тыс. рублей</w:t>
            </w:r>
          </w:p>
          <w:p w:rsidR="00696AD4" w:rsidRPr="00696AD4" w:rsidRDefault="00696AD4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внебюджетные источники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0,0 тыс. рублей</w:t>
            </w:r>
          </w:p>
          <w:p w:rsidR="00696AD4" w:rsidRPr="00696AD4" w:rsidRDefault="00696AD4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696AD4" w:rsidRPr="00696AD4" w:rsidRDefault="00696AD4" w:rsidP="007607E2">
            <w:pPr>
              <w:rPr>
                <w:szCs w:val="24"/>
              </w:rPr>
            </w:pP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- 0,0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- 0,0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- 0,0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- 0,0 тыс. рублей, </w:t>
            </w:r>
            <w:r w:rsidRPr="00696AD4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- 0,0 тыс. рублей</w:t>
            </w:r>
          </w:p>
        </w:tc>
      </w:tr>
      <w:tr w:rsidR="007607E2" w:rsidRPr="00696AD4" w:rsidTr="007607E2">
        <w:tc>
          <w:tcPr>
            <w:tcW w:w="2547" w:type="dxa"/>
            <w:vAlign w:val="center"/>
          </w:tcPr>
          <w:p w:rsidR="007607E2" w:rsidRPr="00696AD4" w:rsidRDefault="00CF79E2" w:rsidP="007607E2">
            <w:pPr>
              <w:rPr>
                <w:szCs w:val="24"/>
              </w:rPr>
            </w:pPr>
            <w:r w:rsidRPr="00696AD4">
              <w:rPr>
                <w:szCs w:val="24"/>
              </w:rPr>
              <w:lastRenderedPageBreak/>
              <w:t>Адрес размещения муниципальной программы в информационно-телекоммуникационной сети Интернет</w:t>
            </w:r>
          </w:p>
        </w:tc>
        <w:tc>
          <w:tcPr>
            <w:tcW w:w="7648" w:type="dxa"/>
            <w:vAlign w:val="center"/>
          </w:tcPr>
          <w:p w:rsidR="007607E2" w:rsidRPr="00696AD4" w:rsidRDefault="00CF79E2" w:rsidP="007607E2">
            <w:pPr>
              <w:rPr>
                <w:szCs w:val="24"/>
                <w:lang w:val="en-US"/>
              </w:rPr>
            </w:pPr>
            <w:r w:rsidRPr="00696AD4">
              <w:rPr>
                <w:szCs w:val="24"/>
                <w:lang w:val="en-US"/>
              </w:rPr>
              <w:t>www.aramilgo.ru</w:t>
            </w:r>
          </w:p>
        </w:tc>
      </w:tr>
    </w:tbl>
    <w:p w:rsidR="007607E2" w:rsidRDefault="007607E2" w:rsidP="007607E2">
      <w:pPr>
        <w:spacing w:after="0"/>
        <w:jc w:val="center"/>
      </w:pPr>
    </w:p>
    <w:sectPr w:rsidR="007607E2" w:rsidSect="00696AD4">
      <w:pgSz w:w="11906" w:h="16838"/>
      <w:pgMar w:top="709" w:right="850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3559"/>
    <w:multiLevelType w:val="hybridMultilevel"/>
    <w:tmpl w:val="991E8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B1958"/>
    <w:multiLevelType w:val="hybridMultilevel"/>
    <w:tmpl w:val="96EA1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E128C"/>
    <w:multiLevelType w:val="hybridMultilevel"/>
    <w:tmpl w:val="E6A61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F81899"/>
    <w:multiLevelType w:val="hybridMultilevel"/>
    <w:tmpl w:val="4546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7E2"/>
    <w:rsid w:val="0024789C"/>
    <w:rsid w:val="005A1F50"/>
    <w:rsid w:val="00696AD4"/>
    <w:rsid w:val="007607E2"/>
    <w:rsid w:val="009A5DCF"/>
    <w:rsid w:val="009E06B6"/>
    <w:rsid w:val="00C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0A40F-1EE6-4E82-99C2-E87E3CE5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2">
    <w:name w:val="CharacterStyle2"/>
    <w:hidden/>
    <w:rsid w:val="007607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sid w:val="007607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4">
    <w:name w:val="List Paragraph"/>
    <w:basedOn w:val="a"/>
    <w:uiPriority w:val="34"/>
    <w:qFormat/>
    <w:rsid w:val="00CF79E2"/>
    <w:pPr>
      <w:ind w:left="720"/>
      <w:contextualSpacing/>
    </w:pPr>
  </w:style>
  <w:style w:type="character" w:customStyle="1" w:styleId="CharacterStyle7">
    <w:name w:val="CharacterStyle7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2025-07-31T10:53:00Z</dcterms:created>
  <dcterms:modified xsi:type="dcterms:W3CDTF">2025-08-12T06:19:00Z</dcterms:modified>
</cp:coreProperties>
</file>